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64" w:rsidRDefault="000F3064" w:rsidP="000F3064">
      <w:pPr>
        <w:pStyle w:val="Heading1"/>
      </w:pPr>
      <w:bookmarkStart w:id="0" w:name="_GoBack"/>
      <w:bookmarkEnd w:id="0"/>
      <w:r>
        <w:t>Chapter 56 Stretched Thin</w:t>
      </w:r>
    </w:p>
    <w:p w:rsidR="000F3064" w:rsidRDefault="000F3064" w:rsidP="000F3064">
      <w:pPr>
        <w:pStyle w:val="Heading1"/>
      </w:pPr>
      <w:r>
        <w:t>Stress, In-Role, and Extra-Role Behavior of Educators</w:t>
      </w:r>
    </w:p>
    <w:p w:rsidR="000F3064" w:rsidRDefault="000F3064" w:rsidP="000F3064">
      <w:pPr>
        <w:spacing w:line="480" w:lineRule="auto"/>
      </w:pPr>
      <w:r>
        <w:t xml:space="preserve">K.C. Ryan and L.M. Dunn-Jensen </w:t>
      </w:r>
    </w:p>
    <w:p w:rsidR="000F3064" w:rsidRDefault="000F3064" w:rsidP="000F3064">
      <w:pPr>
        <w:spacing w:line="480" w:lineRule="auto"/>
      </w:pPr>
      <w:r>
        <w:t xml:space="preserve">2 San Jose State </w:t>
      </w:r>
      <w:proofErr w:type="gramStart"/>
      <w:r>
        <w:t>University</w:t>
      </w:r>
      <w:proofErr w:type="gramEnd"/>
      <w:r>
        <w:t>, San Jose, CA, USA</w:t>
      </w:r>
    </w:p>
    <w:p w:rsidR="000F3064" w:rsidRDefault="000F3064" w:rsidP="000F3064">
      <w:pPr>
        <w:spacing w:line="480" w:lineRule="auto"/>
      </w:pPr>
      <w:r>
        <w:t>1 Indiana University, Bloomington, IN, USA</w:t>
      </w:r>
    </w:p>
    <w:p w:rsidR="000F3064" w:rsidRDefault="000F3064" w:rsidP="000F3064">
      <w:pPr>
        <w:spacing w:line="480" w:lineRule="auto"/>
      </w:pPr>
      <w:r>
        <w:t xml:space="preserve">Table 1 </w:t>
      </w:r>
    </w:p>
    <w:p w:rsidR="000F3064" w:rsidRDefault="000F3064" w:rsidP="000F3064">
      <w:pPr>
        <w:spacing w:line="480" w:lineRule="auto"/>
      </w:pPr>
      <w:r>
        <w:t xml:space="preserve">Relationship </w:t>
      </w:r>
      <w:proofErr w:type="gramStart"/>
      <w:r>
        <w:t>Between</w:t>
      </w:r>
      <w:proofErr w:type="gramEnd"/>
      <w:r>
        <w:t xml:space="preserve"> Level of OCB Engagement and Outcomes</w:t>
      </w:r>
    </w:p>
    <w:tbl>
      <w:tblPr>
        <w:tblStyle w:val="TableGrid"/>
        <w:tblW w:w="0" w:type="auto"/>
        <w:tblLayout w:type="fixed"/>
        <w:tblLook w:val="05E0" w:firstRow="1" w:lastRow="1" w:firstColumn="1" w:lastColumn="1" w:noHBand="0" w:noVBand="1"/>
      </w:tblPr>
      <w:tblGrid>
        <w:gridCol w:w="3192"/>
        <w:gridCol w:w="3192"/>
        <w:gridCol w:w="3192"/>
      </w:tblGrid>
      <w:tr w:rsidR="000F3064" w:rsidRPr="00D471E7" w:rsidTr="006C77EC"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  <w:r w:rsidRPr="00D471E7">
              <w:t>Outcome for individual</w:t>
            </w: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  <w:r w:rsidRPr="00D471E7">
              <w:t>Outcome for the organization</w:t>
            </w: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  <w:r w:rsidRPr="00D471E7">
              <w:t>Too little OCB</w:t>
            </w: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  <w:r w:rsidRPr="00D471E7">
              <w:t>Positive (+) short-term</w:t>
            </w: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  <w:r w:rsidRPr="00D471E7">
              <w:t xml:space="preserve">• </w:t>
            </w:r>
            <w:proofErr w:type="spellStart"/>
            <w:r w:rsidRPr="00D471E7">
              <w:t>Αttentive</w:t>
            </w:r>
            <w:proofErr w:type="spellEnd"/>
            <w:r w:rsidRPr="00D471E7">
              <w:t xml:space="preserve"> to contractual job obligations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  <w:r w:rsidRPr="00D471E7">
              <w:t>• Low need to manage time and other resources to meet demands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  <w:r w:rsidRPr="00D471E7">
              <w:t>Positive (+) short-term</w:t>
            </w: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  <w:r w:rsidRPr="00D471E7">
              <w:t>• Focus on completing contractual job obligations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  <w:r w:rsidRPr="00D471E7">
              <w:t>Negative (−) long-term</w:t>
            </w: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  <w:r w:rsidRPr="00D471E7">
              <w:t>• Negative impact on performance evaluations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  <w:r w:rsidRPr="00D471E7">
              <w:t xml:space="preserve">• Poor position relative to peers, cultural norms, </w:t>
            </w:r>
            <w:r w:rsidRPr="00D471E7">
              <w:lastRenderedPageBreak/>
              <w:t>identity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  <w:r w:rsidRPr="00D471E7">
              <w:lastRenderedPageBreak/>
              <w:t>• Susceptible to coercion by supervisor and others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  <w:r w:rsidRPr="00D471E7">
              <w:t>• Resentment from those who do engage in OCB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  <w:r w:rsidRPr="00D471E7">
              <w:t>Negative (−) long-term</w:t>
            </w: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  <w:r w:rsidRPr="00D471E7">
              <w:t>• Lower overall performance output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  <w:r w:rsidRPr="00D471E7">
              <w:t>• Extra resources needed to complete tasks outside defined job responsibilities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  <w:r w:rsidRPr="00D471E7">
              <w:t>• Less cohesive culture; increased turnover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  <w:r w:rsidRPr="00D471E7">
              <w:t>Balanced OCB</w:t>
            </w: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  <w:r w:rsidRPr="00D471E7">
              <w:t>Positive (+)</w:t>
            </w: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  <w:r w:rsidRPr="00D471E7">
              <w:t>Positive (+)</w:t>
            </w: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  <w:r w:rsidRPr="00D471E7">
              <w:t>Too much OCB</w:t>
            </w: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  <w:r w:rsidRPr="00D471E7">
              <w:t>Positive (+) short-term</w:t>
            </w: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  <w:r w:rsidRPr="00D471E7">
              <w:t>• Increased visibility, perceptions of being a “team-player”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  <w:r w:rsidRPr="00D471E7">
              <w:t>• Improved performance evaluations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  <w:r w:rsidRPr="00D471E7">
              <w:lastRenderedPageBreak/>
              <w:t>• Improved position relative to peers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  <w:r w:rsidRPr="00D471E7">
              <w:t>• Support of OCB identity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  <w:r w:rsidRPr="00D471E7">
              <w:t>Positive (+) short-term</w:t>
            </w: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  <w:r w:rsidRPr="00D471E7">
              <w:t>• Higher overall performance output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  <w:r w:rsidRPr="00D471E7">
              <w:t>• More cohesive culture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  <w:r w:rsidRPr="00D471E7">
              <w:t>Negative (−) long-term</w:t>
            </w: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  <w:r w:rsidRPr="00D471E7">
              <w:t>• Stress, frustration, negative spillover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  <w:r w:rsidRPr="00D471E7">
              <w:t>• Inability to decrease or withdraw behaviors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  <w:r w:rsidRPr="00D471E7">
              <w:t>• Burnout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  <w:r w:rsidRPr="00D471E7">
              <w:t>Negative (−) long-term</w:t>
            </w:r>
          </w:p>
        </w:tc>
        <w:tc>
          <w:tcPr>
            <w:tcW w:w="3192" w:type="dxa"/>
          </w:tcPr>
          <w:p w:rsidR="000F3064" w:rsidRPr="00D471E7" w:rsidRDefault="000F3064" w:rsidP="006C77EC">
            <w:pPr>
              <w:spacing w:line="480" w:lineRule="auto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  <w:r w:rsidRPr="00D471E7">
              <w:t>• Time, attention, resources diverted from contractual job obligations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</w:p>
        </w:tc>
      </w:tr>
      <w:tr w:rsidR="000F3064" w:rsidRPr="00D471E7" w:rsidTr="006C77EC"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  <w:r w:rsidRPr="00D471E7">
              <w:t>• Direct and indirect costs of turnover</w:t>
            </w: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0F3064" w:rsidRPr="00D471E7" w:rsidRDefault="000F3064" w:rsidP="000F3064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</w:p>
        </w:tc>
      </w:tr>
      <w:tr w:rsidR="000F3064" w:rsidTr="006C77EC">
        <w:tc>
          <w:tcPr>
            <w:tcW w:w="3192" w:type="dxa"/>
          </w:tcPr>
          <w:p w:rsidR="000F3064" w:rsidRDefault="000F3064" w:rsidP="006C77EC">
            <w:pPr>
              <w:spacing w:line="480" w:lineRule="auto"/>
            </w:pPr>
          </w:p>
        </w:tc>
        <w:tc>
          <w:tcPr>
            <w:tcW w:w="3192" w:type="dxa"/>
          </w:tcPr>
          <w:p w:rsidR="000F3064" w:rsidRDefault="000F3064" w:rsidP="006C77EC">
            <w:pPr>
              <w:spacing w:line="480" w:lineRule="auto"/>
            </w:pPr>
          </w:p>
        </w:tc>
        <w:tc>
          <w:tcPr>
            <w:tcW w:w="3192" w:type="dxa"/>
          </w:tcPr>
          <w:p w:rsidR="000F3064" w:rsidRDefault="000F3064" w:rsidP="006C77EC">
            <w:pPr>
              <w:spacing w:line="480" w:lineRule="auto"/>
            </w:pPr>
          </w:p>
        </w:tc>
      </w:tr>
    </w:tbl>
    <w:p w:rsidR="002F15D7" w:rsidRDefault="005F3EB5" w:rsidP="000F3064"/>
    <w:sectPr w:rsidR="002F1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797"/>
    <w:multiLevelType w:val="singleLevel"/>
    <w:tmpl w:val="6D665EE6"/>
    <w:name w:val="list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1">
    <w:nsid w:val="29DC0C80"/>
    <w:multiLevelType w:val="singleLevel"/>
    <w:tmpl w:val="6D665EE6"/>
    <w:name w:val="list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2">
    <w:nsid w:val="2E385AE0"/>
    <w:multiLevelType w:val="singleLevel"/>
    <w:tmpl w:val="6D665EE6"/>
    <w:name w:val="list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3">
    <w:nsid w:val="50191568"/>
    <w:multiLevelType w:val="singleLevel"/>
    <w:tmpl w:val="6D665EE6"/>
    <w:name w:val="list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4">
    <w:nsid w:val="66830073"/>
    <w:multiLevelType w:val="singleLevel"/>
    <w:tmpl w:val="6D665EE6"/>
    <w:name w:val="list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5">
    <w:nsid w:val="6CA3024A"/>
    <w:multiLevelType w:val="singleLevel"/>
    <w:tmpl w:val="6D665EE6"/>
    <w:name w:val="list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6">
    <w:nsid w:val="7DD17F3E"/>
    <w:multiLevelType w:val="singleLevel"/>
    <w:tmpl w:val="6D665EE6"/>
    <w:name w:val="list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7">
    <w:nsid w:val="7DE6371C"/>
    <w:multiLevelType w:val="singleLevel"/>
    <w:tmpl w:val="6D665EE6"/>
    <w:name w:val="list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64"/>
    <w:rsid w:val="000F3064"/>
    <w:rsid w:val="005F3EB5"/>
    <w:rsid w:val="007C6E5B"/>
    <w:rsid w:val="00B1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0F3064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064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0F3064"/>
    <w:pPr>
      <w:ind w:left="720"/>
      <w:contextualSpacing/>
    </w:pPr>
  </w:style>
  <w:style w:type="table" w:styleId="TableGrid">
    <w:name w:val="Table Grid"/>
    <w:basedOn w:val="TableNormal"/>
    <w:rsid w:val="000F3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0F3064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064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0F3064"/>
    <w:pPr>
      <w:ind w:left="720"/>
      <w:contextualSpacing/>
    </w:pPr>
  </w:style>
  <w:style w:type="table" w:styleId="TableGrid">
    <w:name w:val="Table Grid"/>
    <w:basedOn w:val="TableNormal"/>
    <w:rsid w:val="000F3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242</Words>
  <Characters>1383</Characters>
  <Application>Microsoft Office Word</Application>
  <DocSecurity>0</DocSecurity>
  <Lines>11</Lines>
  <Paragraphs>3</Paragraphs>
  <ScaleCrop>false</ScaleCrop>
  <Company>Reed Elsevier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Elsevier</dc:creator>
  <cp:lastModifiedBy>Reed Elsevier</cp:lastModifiedBy>
  <cp:revision>2</cp:revision>
  <dcterms:created xsi:type="dcterms:W3CDTF">2016-05-05T10:07:00Z</dcterms:created>
  <dcterms:modified xsi:type="dcterms:W3CDTF">2016-05-05T10:09:00Z</dcterms:modified>
</cp:coreProperties>
</file>